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3DDEA0D0" w14:textId="24B3299F" w:rsidR="008458BE" w:rsidRPr="00FA16E0" w:rsidRDefault="008458BE" w:rsidP="008458BE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color w:val="FF0000"/>
                <w:sz w:val="16"/>
              </w:rPr>
            </w:pPr>
            <w:r w:rsidRPr="00FA16E0">
              <w:rPr>
                <w:rFonts w:asciiTheme="minorEastAsia" w:eastAsiaTheme="minorEastAsia" w:hAnsiTheme="minorEastAsia" w:hint="eastAsia"/>
                <w:color w:val="FF0000"/>
                <w:sz w:val="16"/>
                <w:szCs w:val="16"/>
                <w:highlight w:val="yellow"/>
              </w:rPr>
              <w:t>[以下は</w:t>
            </w:r>
            <w:r w:rsidRPr="00FA16E0">
              <w:rPr>
                <w:rFonts w:asciiTheme="minorEastAsia" w:eastAsiaTheme="minorEastAsia" w:hAnsiTheme="minorEastAsia" w:hint="eastAsia"/>
                <w:color w:val="FF0000"/>
                <w:sz w:val="16"/>
                <w:szCs w:val="16"/>
                <w:highlight w:val="yellow"/>
              </w:rPr>
              <w:t>「競争参加資格要件等一覧表」の競争参加要件の「その他」に示す証明書類のため必ず必要]</w:t>
            </w:r>
          </w:p>
          <w:p w14:paraId="0C59C119" w14:textId="191628FD" w:rsidR="008458BE" w:rsidRPr="008458BE" w:rsidRDefault="00E278B0" w:rsidP="008458BE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 w:hint="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FA16E0">
              <w:rPr>
                <w:rFonts w:asciiTheme="minorEastAsia" w:hAnsiTheme="minorEastAsia" w:hint="eastAsia"/>
                <w:sz w:val="22"/>
              </w:rPr>
              <w:t>「</w:t>
            </w:r>
            <w:r w:rsidR="008458BE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青い森鉄道㈱の工事等の請負業者登録について（通知）</w:t>
            </w:r>
            <w:r w:rsidR="00FA16E0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」</w:t>
            </w:r>
            <w:r w:rsidR="008458BE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の写し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204484475">
    <w:abstractNumId w:val="1"/>
  </w:num>
  <w:num w:numId="2" w16cid:durableId="781995459">
    <w:abstractNumId w:val="2"/>
  </w:num>
  <w:num w:numId="3" w16cid:durableId="1550460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8BE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D33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16E0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宮井 忠義</cp:lastModifiedBy>
  <cp:revision>85</cp:revision>
  <cp:lastPrinted>2023-01-23T08:01:00Z</cp:lastPrinted>
  <dcterms:created xsi:type="dcterms:W3CDTF">2022-09-13T05:35:00Z</dcterms:created>
  <dcterms:modified xsi:type="dcterms:W3CDTF">2024-04-09T00:25:00Z</dcterms:modified>
</cp:coreProperties>
</file>